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8, 2025</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Lifeward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3600" w:type="dxa"/>
            <w:vAlign w:val="bottom"/>
          </w:tcPr>
          <w:p>
            <w:pPr>
              <w:spacing w:after="0"/>
              <w:rPr>
                <w:sz w:val="20"/>
                <w:szCs w:val="20"/>
                <w:color w:val="auto"/>
              </w:rPr>
            </w:pPr>
          </w:p>
        </w:tc>
      </w:tr>
      <w:tr>
        <w:trPr>
          <w:trHeight w:val="466"/>
        </w:trPr>
        <w:tc>
          <w:tcPr>
            <w:tcW w:w="45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Israel</w:t>
            </w:r>
          </w:p>
        </w:tc>
        <w:tc>
          <w:tcPr>
            <w:tcW w:w="29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001-36612</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gridSpan w:val="3"/>
          </w:tcPr>
          <w:p>
            <w:pPr>
              <w:jc w:val="center"/>
              <w:ind w:right="66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48"/>
        </w:trPr>
        <w:tc>
          <w:tcPr>
            <w:tcW w:w="450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200 Donald Lynch Blvd. Marlborough, MA</w:t>
            </w: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01752</w:t>
            </w:r>
          </w:p>
        </w:tc>
      </w:tr>
      <w:tr>
        <w:trPr>
          <w:trHeight w:val="234"/>
        </w:trPr>
        <w:tc>
          <w:tcPr>
            <w:tcW w:w="4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+508.251.1154</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7960" w:type="dxa"/>
            <w:vAlign w:val="bottom"/>
            <w:gridSpan w:val="5"/>
          </w:tcPr>
          <w:p>
            <w:pPr>
              <w:jc w:val="center"/>
              <w:ind w:right="31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437"/>
        </w:trPr>
        <w:tc>
          <w:tcPr>
            <w:tcW w:w="32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00" w:type="dxa"/>
            <w:vAlign w:val="bottom"/>
          </w:tcPr>
          <w:p>
            <w:pPr>
              <w:spacing w:after="0"/>
              <w:rPr>
                <w:sz w:val="24"/>
                <w:szCs w:val="24"/>
                <w:color w:val="auto"/>
              </w:rPr>
            </w:pP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5"/>
        </w:trPr>
        <w:tc>
          <w:tcPr>
            <w:tcW w:w="32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Section 12(b) of the Act</w:t>
            </w:r>
          </w:p>
        </w:tc>
        <w:tc>
          <w:tcPr>
            <w:tcW w:w="3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60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36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Ordinary Shares, par value NIS 1.75</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LFWD</w:t>
            </w:r>
          </w:p>
        </w:tc>
        <w:tc>
          <w:tcPr>
            <w:tcW w:w="2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21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89" w:lineRule="exact"/>
        <w:rPr>
          <w:sz w:val="24"/>
          <w:szCs w:val="24"/>
          <w:color w:val="auto"/>
        </w:rPr>
      </w:pPr>
    </w:p>
    <w:p>
      <w:pPr>
        <w:ind w:left="880" w:hanging="440"/>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8" w:lineRule="exact"/>
        <w:rPr>
          <w:rFonts w:ascii="MS PGothic" w:cs="MS PGothic" w:eastAsia="MS PGothic" w:hAnsi="MS PGothic"/>
          <w:sz w:val="18"/>
          <w:szCs w:val="18"/>
          <w:color w:val="auto"/>
        </w:rPr>
      </w:pPr>
    </w:p>
    <w:p>
      <w:pPr>
        <w:ind w:left="880" w:hanging="440"/>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880" w:hanging="440"/>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880" w:hanging="440"/>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ind w:right="520"/>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color w:val="auto"/>
        </w:rPr>
        <w:t>On April 14, 2025, Lifeward Ltd. (the “Company”) announced its preliminary revenue results of approximately $5.0 million for the quarter ended March 31, 2025 and its preliminary U.S. GAAP operating expenses are expected to range between $6.5 million and $6.7 million for such quarter. These unaudited, preliminary amounts have been prepared by and are the responsibility of management. These amounts are based upon information available to management as of the date of this Current Report on Form 8-K and subject to completion of customary quarter-end close procedures and financial review that could result in changes to the amounts. Furthermore, these amounts do not present all information necessary for an understanding of the Company’s financial condition as of March 31, 2025 or its results of operations as of such date. The Company’s independent registered public accounting firm, Kost Forer Gabbay &amp; Kasierer, a member of Ernst &amp; Young Global (“EY”), has not audited, reviewed, compiled or performed any procedures with respect to these preliminary financial results and, accordingly, EY does not express an opinion or any other form of assurance with respect thereto. The Company’s actual results for the quarter ended March 31, 2025 will be included in its Quarterly Report on Form 10-Q and may differ materially from the above estimate.</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information disclosed in this Item 2.02 is being furnished and shall not be deemed to be “filed” for the purposes of Section 18 of the Securities Exchange Act of 1934, as amended (the “Exchange Act”),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5.02</w:t>
            </w:r>
          </w:p>
        </w:tc>
        <w:tc>
          <w:tcPr>
            <w:tcW w:w="10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w:t>
            </w:r>
          </w:p>
        </w:tc>
        <w:tc>
          <w:tcPr>
            <w:tcW w:w="0" w:type="dxa"/>
            <w:vAlign w:val="bottom"/>
          </w:tcPr>
          <w:p>
            <w:pPr>
              <w:spacing w:after="0"/>
              <w:rPr>
                <w:sz w:val="1"/>
                <w:szCs w:val="1"/>
                <w:color w:val="auto"/>
              </w:rPr>
            </w:pPr>
          </w:p>
        </w:tc>
      </w:tr>
      <w:tr>
        <w:trPr>
          <w:trHeight w:val="117"/>
        </w:trPr>
        <w:tc>
          <w:tcPr>
            <w:tcW w:w="940" w:type="dxa"/>
            <w:vAlign w:val="bottom"/>
            <w:vMerge w:val="continue"/>
          </w:tcPr>
          <w:p>
            <w:pPr>
              <w:spacing w:after="0"/>
              <w:rPr>
                <w:sz w:val="10"/>
                <w:szCs w:val="10"/>
                <w:color w:val="auto"/>
              </w:rPr>
            </w:pPr>
          </w:p>
        </w:tc>
        <w:tc>
          <w:tcPr>
            <w:tcW w:w="103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of Certain Officers.</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10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Pursuant to notice provided on April 8, 2025, Charles Remsberg’s employment as the Chief Sales Officer of the Company will be terminated, effective May 30, 2025. Mr. Remsberg’s departure will be treated as a termination without cause pursuant to the terms of his Employment Agreement, dated August 11, 2023 (the “Employment Agreement”). Mr. Remsberg will receive severance and other benefits in accordance with the terms of his Employment Agreement. The terms of the Employment Agreement were disclosed in the Company’s Annual Report on Form 10-K, which was filed with the U.S. Securities and Exchange Commission on March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545"/>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Lifeward Ltd.</w:t>
      </w:r>
    </w:p>
    <w:p>
      <w:pPr>
        <w:spacing w:after="0" w:line="256" w:lineRule="exact"/>
        <w:rPr>
          <w:sz w:val="20"/>
          <w:szCs w:val="20"/>
          <w:color w:val="auto"/>
        </w:rPr>
      </w:pPr>
    </w:p>
    <w:p>
      <w:pPr>
        <w:spacing w:after="0"/>
        <w:tabs>
          <w:tab w:leader="none" w:pos="5580" w:val="left"/>
          <w:tab w:leader="none" w:pos="6060" w:val="left"/>
        </w:tabs>
        <w:rPr>
          <w:sz w:val="20"/>
          <w:szCs w:val="20"/>
          <w:color w:val="auto"/>
        </w:rPr>
      </w:pPr>
      <w:r>
        <w:rPr>
          <w:rFonts w:ascii="Times New Roman" w:cs="Times New Roman" w:eastAsia="Times New Roman" w:hAnsi="Times New Roman"/>
          <w:sz w:val="18"/>
          <w:szCs w:val="18"/>
          <w:color w:val="auto"/>
        </w:rPr>
        <w:t>Dated: April 14, 2025</w:t>
      </w:r>
      <w:r>
        <w:rPr>
          <w:sz w:val="20"/>
          <w:szCs w:val="20"/>
          <w:color w:val="auto"/>
        </w:rPr>
        <w:tab/>
      </w:r>
      <w:r>
        <w:rPr>
          <w:rFonts w:ascii="Times New Roman" w:cs="Times New Roman" w:eastAsia="Times New Roman" w:hAnsi="Times New Roman"/>
          <w:sz w:val="18"/>
          <w:szCs w:val="18"/>
          <w:color w:val="auto"/>
        </w:rPr>
        <w:t>By:</w:t>
        <w:tab/>
        <w:t>/s/ Mike Lawless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14916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1714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Name:Mike Lawless</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880"/>
      </w:cols>
      <w:pgMar w:left="320" w:top="347"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2025-04-14T06:13:13Z</dcterms:created>
  <dcterms:modified xsi:type="dcterms:W3CDTF">2025-04-14T06:13:13Z</dcterms:modified>
</cp:coreProperties>
</file>