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24" w:space="1" w:color="000000"/>
        </w:rPr>
      </w:pPr>
      <w:bookmarkStart w:id="0" w:name="zk2636181.htm"/>
      <w:bookmarkStart w:id="1" w:name="kszk2636181"/>
      <w:bookmarkEnd w:id="0"/>
      <w:bookmarkEnd w:id="1"/>
      <w:r>
        <w:rPr>
          <w:bdr w:val="single" w:sz="2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D_edei--DocumentType_c20261001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u w:val="single"/>
        </w:rPr>
        <w:t>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4_edei--EntityRegistrantName_c2026"/>
      <w:bookmarkEnd w:id="4"/>
      <w:r>
        <w:rPr>
          <w:rFonts w:ascii="Times New Roman;Times;Serif" w:hAnsi="Times New Roman;Times;Serif"/>
          <w:b/>
          <w:i w:val="false"/>
          <w:caps w:val="false"/>
          <w:smallCaps w:val="false"/>
          <w:sz w:val="32"/>
        </w:rPr>
        <w:t>Lifeward Ltd.</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95" w:type="dxa"/>
        <w:jc w:val="left"/>
        <w:tblInd w:w="0" w:type="dxa"/>
        <w:tblLayout w:type="fixed"/>
        <w:tblCellMar>
          <w:top w:w="0" w:type="dxa"/>
          <w:left w:w="0" w:type="dxa"/>
          <w:bottom w:w="28" w:type="dxa"/>
          <w:right w:w="0" w:type="dxa"/>
        </w:tblCellMar>
      </w:tblPr>
      <w:tblGrid>
        <w:gridCol w:w="2495"/>
        <w:gridCol w:w="60"/>
        <w:gridCol w:w="1100"/>
        <w:gridCol w:w="60"/>
        <w:gridCol w:w="1580"/>
      </w:tblGrid>
      <w:tr>
        <w:trPr/>
        <w:tc>
          <w:tcPr>
            <w:tcW w:w="2495" w:type="dxa"/>
            <w:tcBorders>
              <w:bottom w:val="single" w:sz="12" w:space="0" w:color="000000"/>
            </w:tcBorders>
            <w:vAlign w:val="center"/>
          </w:tcPr>
          <w:p>
            <w:pPr>
              <w:pStyle w:val="TableContents"/>
              <w:bidi w:val="0"/>
              <w:spacing w:before="0" w:after="283"/>
              <w:jc w:val="center"/>
              <w:rPr>
                <w:sz w:val="20"/>
              </w:rPr>
            </w:pPr>
            <w:bookmarkStart w:id="5" w:name="xdx_90E_edei--EntityIncorporationStateCo"/>
            <w:bookmarkEnd w:id="5"/>
            <w:r>
              <w:rPr>
                <w:sz w:val="20"/>
              </w:rPr>
              <w:t>Israel</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sz w:val="20"/>
              </w:rPr>
            </w:pPr>
            <w:bookmarkStart w:id="6" w:name="xdx_90C_edei--EntityFileNumber_c20261001"/>
            <w:bookmarkEnd w:id="6"/>
            <w:r>
              <w:rPr>
                <w:sz w:val="20"/>
              </w:rPr>
              <w:t>001-36612</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2" w:space="0" w:color="000000"/>
            </w:tcBorders>
            <w:vAlign w:val="center"/>
          </w:tcPr>
          <w:p>
            <w:pPr>
              <w:pStyle w:val="TableContents"/>
              <w:bidi w:val="0"/>
              <w:spacing w:before="0" w:after="283"/>
              <w:jc w:val="center"/>
              <w:rPr>
                <w:sz w:val="20"/>
              </w:rPr>
            </w:pPr>
            <w:bookmarkStart w:id="7" w:name="xdx_903_edei--EntityTaxIdentificationNum"/>
            <w:bookmarkEnd w:id="7"/>
            <w:r>
              <w:rPr>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 </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bidi w:val="0"/>
              <w:spacing w:before="0" w:after="283"/>
              <w:jc w:val="center"/>
              <w:rPr>
                <w:sz w:val="20"/>
              </w:rPr>
            </w:pPr>
            <w:bookmarkStart w:id="8" w:name="xdx_90B_edei--EntityAddressAddressLine1_"/>
            <w:bookmarkEnd w:id="8"/>
            <w:r>
              <w:rPr>
                <w:sz w:val="20"/>
              </w:rPr>
              <w:t xml:space="preserve">2 Cabot Rd., </w:t>
            </w:r>
            <w:bookmarkStart w:id="9" w:name="xdx_90A_edei--EntityAddressCityOrTown_c2"/>
            <w:bookmarkEnd w:id="9"/>
            <w:r>
              <w:rPr>
                <w:sz w:val="20"/>
              </w:rPr>
              <w:t xml:space="preserve">Hudson, </w:t>
            </w:r>
            <w:bookmarkStart w:id="10" w:name="xdx_904_edei--EntityAddressStateOrProvin"/>
            <w:bookmarkEnd w:id="10"/>
            <w:r>
              <w:rPr>
                <w:sz w:val="20"/>
              </w:rPr>
              <w:t>MA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sz w:val="20"/>
              </w:rPr>
            </w:pPr>
            <w:bookmarkStart w:id="11" w:name="xdx_90B_edei--EntityAddressPostalZipCode"/>
            <w:bookmarkEnd w:id="11"/>
            <w:r>
              <w:rPr>
                <w:sz w:val="20"/>
              </w:rPr>
              <w:t>01749</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4_edei--CityAreaCode_c20261001__20"/>
      <w:bookmarkEnd w:id="12"/>
      <w:r>
        <w:rPr>
          <w:rFonts w:ascii="Times New Roman;Times;Serif" w:hAnsi="Times New Roman;Times;Serif"/>
          <w:b w:val="false"/>
          <w:i w:val="false"/>
          <w:caps w:val="false"/>
          <w:smallCaps w:val="false"/>
          <w:sz w:val="20"/>
          <w:u w:val="single"/>
        </w:rPr>
        <w:t>+508.</w:t>
      </w:r>
      <w:bookmarkStart w:id="13" w:name="xdx_902_edei--LocalPhoneNumber_c20261001"/>
      <w:bookmarkEnd w:id="13"/>
      <w:r>
        <w:rPr>
          <w:rFonts w:ascii="Times New Roman;Times;Serif" w:hAnsi="Times New Roman;Times;Serif"/>
          <w:b w:val="false"/>
          <w:i w:val="false"/>
          <w:caps w:val="false"/>
          <w:smallCaps w:val="false"/>
          <w:sz w:val="20"/>
          <w:u w:val="single"/>
        </w:rPr>
        <w:t>251.1154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E_edei--EntityInformationFormerLeg"/>
      <w:bookmarkEnd w:id="14"/>
      <w:r>
        <w:rPr>
          <w:rFonts w:ascii="Times New Roman;Times;Serif" w:hAnsi="Times New Roman;Times;Serif"/>
          <w:b w:val="false"/>
          <w:i w:val="false"/>
          <w:caps w:val="false"/>
          <w:smallCaps w:val="false"/>
          <w:sz w:val="20"/>
        </w:rPr>
        <w:t>Not Applicable</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tbl>
      <w:tblPr>
        <w:tblW w:w="6405" w:type="dxa"/>
        <w:jc w:val="left"/>
        <w:tblInd w:w="0" w:type="dxa"/>
        <w:tblLayout w:type="fixed"/>
        <w:tblCellMar>
          <w:top w:w="0" w:type="dxa"/>
          <w:left w:w="0" w:type="dxa"/>
          <w:bottom w:w="28" w:type="dxa"/>
          <w:right w:w="0" w:type="dxa"/>
        </w:tblCellMar>
      </w:tblPr>
      <w:tblGrid>
        <w:gridCol w:w="2855"/>
        <w:gridCol w:w="60"/>
        <w:gridCol w:w="1415"/>
        <w:gridCol w:w="60"/>
        <w:gridCol w:w="2015"/>
      </w:tblGrid>
      <w:tr>
        <w:trPr/>
        <w:tc>
          <w:tcPr>
            <w:tcW w:w="2855" w:type="dxa"/>
            <w:tcBorders>
              <w:bottom w:val="single" w:sz="12" w:space="0" w:color="000000"/>
            </w:tcBorders>
            <w:vAlign w:val="center"/>
          </w:tcPr>
          <w:p>
            <w:pPr>
              <w:pStyle w:val="TableContents"/>
              <w:bidi w:val="0"/>
              <w:jc w:val="center"/>
              <w:rPr>
                <w:b/>
                <w:sz w:val="20"/>
              </w:rPr>
            </w:pPr>
            <w:r>
              <w:rPr>
                <w:b/>
                <w:sz w:val="20"/>
              </w:rPr>
              <w:t>Securities registered pursuant to</w:t>
            </w:r>
          </w:p>
          <w:p>
            <w:pPr>
              <w:pStyle w:val="TableContents"/>
              <w:bidi w:val="0"/>
              <w:spacing w:before="0" w:after="283"/>
              <w:jc w:val="center"/>
              <w:rPr>
                <w:b/>
                <w:sz w:val="20"/>
              </w:rPr>
            </w:pPr>
            <w:r>
              <w:rPr>
                <w:b/>
                <w:sz w:val="20"/>
              </w:rPr>
              <w:t>Section 12(b) of the Exchange Act</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201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on which registered </w:t>
            </w:r>
          </w:p>
        </w:tc>
      </w:tr>
      <w:tr>
        <w:trPr/>
        <w:tc>
          <w:tcPr>
            <w:tcW w:w="2855" w:type="dxa"/>
            <w:tcBorders/>
            <w:shd w:fill="CCEEFF" w:val="clear"/>
            <w:tcMar>
              <w:bottom w:w="0" w:type="dxa"/>
            </w:tcMar>
            <w:vAlign w:val="center"/>
          </w:tcPr>
          <w:p>
            <w:pPr>
              <w:pStyle w:val="TableContents"/>
              <w:bidi w:val="0"/>
              <w:spacing w:before="0" w:after="283"/>
              <w:jc w:val="center"/>
              <w:rPr>
                <w:sz w:val="20"/>
              </w:rPr>
            </w:pPr>
            <w:bookmarkStart w:id="15" w:name="xdx_908_edei--Security12bTitle_c20261001"/>
            <w:bookmarkEnd w:id="15"/>
            <w:r>
              <w:rPr>
                <w:sz w:val="20"/>
              </w:rPr>
              <w:t xml:space="preserve">Ordinary Shares, no par value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415" w:type="dxa"/>
            <w:tcBorders/>
            <w:shd w:fill="CCEEFF" w:val="clear"/>
            <w:tcMar>
              <w:bottom w:w="0" w:type="dxa"/>
            </w:tcMar>
            <w:vAlign w:val="center"/>
          </w:tcPr>
          <w:p>
            <w:pPr>
              <w:pStyle w:val="TableContents"/>
              <w:bidi w:val="0"/>
              <w:spacing w:before="0" w:after="283"/>
              <w:jc w:val="center"/>
              <w:rPr>
                <w:sz w:val="20"/>
              </w:rPr>
            </w:pPr>
            <w:bookmarkStart w:id="16" w:name="xdx_900_edei--TradingSymbol_c20261001__2"/>
            <w:bookmarkEnd w:id="16"/>
            <w:r>
              <w:rPr>
                <w:sz w:val="20"/>
              </w:rPr>
              <w:t>LFWD</w:t>
            </w:r>
          </w:p>
        </w:tc>
        <w:tc>
          <w:tcPr>
            <w:tcW w:w="60" w:type="dxa"/>
            <w:tcBorders/>
            <w:shd w:fill="CCEEFF" w:val="clear"/>
            <w:tcMar>
              <w:bottom w:w="0" w:type="dxa"/>
            </w:tcMar>
            <w:vAlign w:val="center"/>
          </w:tcPr>
          <w:p>
            <w:pPr>
              <w:pStyle w:val="TableContents"/>
              <w:bidi w:val="0"/>
              <w:spacing w:before="0" w:after="283"/>
              <w:jc w:val="both"/>
              <w:rPr/>
            </w:pPr>
            <w:r>
              <w:rPr/>
              <w:t> </w:t>
            </w:r>
          </w:p>
        </w:tc>
        <w:tc>
          <w:tcPr>
            <w:tcW w:w="2015" w:type="dxa"/>
            <w:tcBorders/>
            <w:shd w:fill="CCEEFF" w:val="clear"/>
            <w:tcMar>
              <w:bottom w:w="0" w:type="dxa"/>
            </w:tcMar>
            <w:vAlign w:val="center"/>
          </w:tcPr>
          <w:p>
            <w:pPr>
              <w:pStyle w:val="TableContents"/>
              <w:bidi w:val="0"/>
              <w:spacing w:before="0" w:after="283"/>
              <w:jc w:val="center"/>
              <w:rPr>
                <w:sz w:val="20"/>
              </w:rPr>
            </w:pPr>
            <w:bookmarkStart w:id="17" w:name="xdx_904_edei--SecurityExchangeName_c2026"/>
            <w:bookmarkEnd w:id="17"/>
            <w:r>
              <w:rPr>
                <w:sz w:val="20"/>
              </w:rPr>
              <w:t>Nasdaq Capital Market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283"/>
        <w:jc w:val="left"/>
        <w:rPr/>
      </w:pPr>
      <w:r>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8" w:name="xdx_908_edei--WrittenCommunications_c202"/>
            <w:bookmarkEnd w:id="18"/>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9" w:name="xdx_909_edei--SolicitingMaterial_c202610"/>
            <w:bookmarkEnd w:id="19"/>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B_edei--PreCommencementTenderOffer"/>
            <w:bookmarkEnd w:id="20"/>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1" w:name="xdx_90B_edei--PreCommencementIssuerTende"/>
            <w:bookmarkEnd w:id="21"/>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8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Current Report on Form 8-K filed by Lifeward Ltd. (the “Company”) with the Securities and Exchange Commission on August 31, 2026, Almog Adar’s departure as the Company’s Chief Financial Officer, principal financial officer and principal accounting officer became effective on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 2026, the Company designated Josh Hexter, the Company’s Interim Chief Executive Officer and principal executive officer, to also serve as the Company’s interim principal financial officer and principal accounting officer. Mr. Hexter will serve in these capacities until November 1, 2026, when, as previously disclosed in the August 31, 2026 Form 8-K, Rami Aviram’s appointment as the Company’s Chief Financial Officer, principal financial officer and principal accounting officer becomes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Hexter will not receive any additional compensation in connection with this designation. The information concerning Mr. Hexter required by Item 5.02(c) of Form 8-K was included in the August 31, 2026 Form 8-K and is incorporated herein by reference.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2270"/>
        <w:gridCol w:w="650"/>
        <w:gridCol w:w="3035"/>
      </w:tblGrid>
      <w:tr>
        <w:trPr/>
        <w:tc>
          <w:tcPr>
            <w:tcW w:w="227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rPr>
            </w:pPr>
            <w:r>
              <w:rPr>
                <w:b/>
              </w:rPr>
              <w:t>Lifeward Ltd.</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Dated: October 1, 2026</w:t>
            </w:r>
          </w:p>
        </w:tc>
        <w:tc>
          <w:tcPr>
            <w:tcW w:w="650" w:type="dxa"/>
            <w:tcBorders/>
            <w:vAlign w:val="center"/>
          </w:tcPr>
          <w:p>
            <w:pPr>
              <w:pStyle w:val="TableContents"/>
              <w:bidi w:val="0"/>
              <w:spacing w:before="0" w:after="283"/>
              <w:jc w:val="left"/>
              <w:rPr/>
            </w:pPr>
            <w:r>
              <w:rPr/>
              <w:t>By:</w:t>
            </w:r>
          </w:p>
        </w:tc>
        <w:tc>
          <w:tcPr>
            <w:tcW w:w="3035" w:type="dxa"/>
            <w:tcBorders>
              <w:bottom w:val="single" w:sz="12" w:space="0" w:color="000000"/>
            </w:tcBorders>
            <w:tcMar>
              <w:bottom w:w="28" w:type="dxa"/>
            </w:tcMar>
            <w:vAlign w:val="center"/>
          </w:tcPr>
          <w:p>
            <w:pPr>
              <w:pStyle w:val="TableContents"/>
              <w:bidi w:val="0"/>
              <w:spacing w:before="0" w:after="283"/>
              <w:jc w:val="left"/>
              <w:rPr/>
            </w:pPr>
            <w:r>
              <w:rPr/>
              <w:t>/s/ Josh Hexter</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035" w:type="dxa"/>
            <w:tcBorders/>
            <w:vAlign w:val="center"/>
          </w:tcPr>
          <w:p>
            <w:pPr>
              <w:pStyle w:val="TableContents"/>
              <w:bidi w:val="0"/>
              <w:spacing w:before="0" w:after="283"/>
              <w:jc w:val="left"/>
              <w:rPr/>
            </w:pPr>
            <w:r>
              <w:rPr/>
              <w:t>Josh Hexter</w:t>
            </w:r>
          </w:p>
        </w:tc>
      </w:tr>
      <w:tr>
        <w:trPr/>
        <w:tc>
          <w:tcPr>
            <w:tcW w:w="227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035" w:type="dxa"/>
            <w:tcBorders/>
            <w:vAlign w:val="center"/>
          </w:tcPr>
          <w:p>
            <w:pPr>
              <w:pStyle w:val="TableContents"/>
              <w:bidi w:val="0"/>
              <w:spacing w:before="0" w:after="283"/>
              <w:jc w:val="left"/>
              <w:rPr/>
            </w:pPr>
            <w:r>
              <w:rPr/>
              <w:t>Interim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531</Words>
  <Characters>3013</Characters>
  <CharactersWithSpaces>3540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