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24" w:space="1" w:color="000000"/>
        </w:rPr>
      </w:pPr>
      <w:bookmarkStart w:id="0" w:name="zk2636114.htm"/>
      <w:bookmarkStart w:id="1" w:name="kszk2636114"/>
      <w:bookmarkEnd w:id="0"/>
      <w:bookmarkEnd w:id="1"/>
      <w:r>
        <w:rPr>
          <w:bdr w:val="single" w:sz="24"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9_edei--DocumentType_c20260915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val="false"/>
          <w:i w:val="false"/>
          <w:caps w:val="false"/>
          <w:smallCaps w:val="false"/>
          <w:sz w:val="20"/>
          <w:u w:val="single"/>
        </w:rPr>
        <w:t>September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bookmarkStart w:id="4" w:name="xdx_908_edei--EntityRegistrantName_c2026"/>
      <w:bookmarkEnd w:id="4"/>
      <w:r>
        <w:rPr>
          <w:rFonts w:ascii="Times New Roman;Times;Serif" w:hAnsi="Times New Roman;Times;Serif"/>
          <w:b/>
          <w:i w:val="false"/>
          <w:caps w:val="false"/>
          <w:smallCaps w:val="false"/>
          <w:sz w:val="32"/>
        </w:rPr>
        <w:t>Lifeward Ltd.</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295" w:type="dxa"/>
        <w:jc w:val="left"/>
        <w:tblInd w:w="0" w:type="dxa"/>
        <w:tblLayout w:type="fixed"/>
        <w:tblCellMar>
          <w:top w:w="0" w:type="dxa"/>
          <w:left w:w="0" w:type="dxa"/>
          <w:bottom w:w="28" w:type="dxa"/>
          <w:right w:w="0" w:type="dxa"/>
        </w:tblCellMar>
      </w:tblPr>
      <w:tblGrid>
        <w:gridCol w:w="2495"/>
        <w:gridCol w:w="60"/>
        <w:gridCol w:w="1100"/>
        <w:gridCol w:w="60"/>
        <w:gridCol w:w="1580"/>
      </w:tblGrid>
      <w:tr>
        <w:trPr/>
        <w:tc>
          <w:tcPr>
            <w:tcW w:w="2495" w:type="dxa"/>
            <w:tcBorders>
              <w:bottom w:val="single" w:sz="12" w:space="0" w:color="000000"/>
            </w:tcBorders>
            <w:vAlign w:val="center"/>
          </w:tcPr>
          <w:p>
            <w:pPr>
              <w:pStyle w:val="TableContents"/>
              <w:bidi w:val="0"/>
              <w:spacing w:before="0" w:after="283"/>
              <w:jc w:val="center"/>
              <w:rPr>
                <w:sz w:val="20"/>
              </w:rPr>
            </w:pPr>
            <w:bookmarkStart w:id="5" w:name="xdx_901_edei--EntityIncorporationStateCo"/>
            <w:bookmarkEnd w:id="5"/>
            <w:r>
              <w:rPr>
                <w:sz w:val="20"/>
              </w:rPr>
              <w:t>Israel</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center"/>
              <w:rPr>
                <w:sz w:val="20"/>
              </w:rPr>
            </w:pPr>
            <w:bookmarkStart w:id="6" w:name="xdx_908_edei--EntityFileNumber_c20260915"/>
            <w:bookmarkEnd w:id="6"/>
            <w:r>
              <w:rPr>
                <w:sz w:val="20"/>
              </w:rPr>
              <w:t>001-36612</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12" w:space="0" w:color="000000"/>
            </w:tcBorders>
            <w:vAlign w:val="center"/>
          </w:tcPr>
          <w:p>
            <w:pPr>
              <w:pStyle w:val="TableContents"/>
              <w:bidi w:val="0"/>
              <w:spacing w:before="0" w:after="283"/>
              <w:jc w:val="center"/>
              <w:rPr>
                <w:sz w:val="20"/>
              </w:rPr>
            </w:pPr>
            <w:bookmarkStart w:id="7" w:name="xdx_904_edei--EntityTaxIdentificationNum"/>
            <w:bookmarkEnd w:id="7"/>
            <w:r>
              <w:rPr>
                <w:sz w:val="20"/>
              </w:rPr>
              <w:t>Not applicable</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 </w:t>
            </w:r>
          </w:p>
        </w:tc>
      </w:tr>
    </w:tbl>
    <w:p>
      <w:pPr>
        <w:pStyle w:val="TextBody"/>
        <w:bidi w:val="0"/>
        <w:spacing w:before="0" w:after="283"/>
        <w:jc w:val="left"/>
        <w:rPr/>
      </w:pPr>
      <w:r>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283"/>
              <w:jc w:val="center"/>
              <w:rPr>
                <w:sz w:val="20"/>
              </w:rPr>
            </w:pPr>
            <w:bookmarkStart w:id="8" w:name="xdx_900_edei--EntityAddressAddressLine1_"/>
            <w:bookmarkEnd w:id="8"/>
            <w:r>
              <w:rPr>
                <w:sz w:val="20"/>
              </w:rPr>
              <w:t xml:space="preserve">2 Cabot Rd., </w:t>
            </w:r>
            <w:bookmarkStart w:id="9" w:name="xdx_90F_edei--EntityAddressCityOrTown_c2"/>
            <w:bookmarkEnd w:id="9"/>
            <w:r>
              <w:rPr>
                <w:sz w:val="20"/>
              </w:rPr>
              <w:t xml:space="preserve">Hudson, </w:t>
            </w:r>
            <w:bookmarkStart w:id="10" w:name="xdx_909_edei--EntityAddressStateOrProvin"/>
            <w:bookmarkEnd w:id="10"/>
            <w:r>
              <w:rPr>
                <w:sz w:val="20"/>
              </w:rPr>
              <w:t>MA</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sz w:val="20"/>
              </w:rPr>
            </w:pPr>
            <w:bookmarkStart w:id="11" w:name="xdx_90F_edei--EntityAddressPostalZipCode"/>
            <w:bookmarkEnd w:id="11"/>
            <w:r>
              <w:rPr>
                <w:sz w:val="20"/>
              </w:rPr>
              <w:t>01749</w:t>
            </w:r>
          </w:p>
        </w:tc>
      </w:tr>
      <w:tr>
        <w:trPr/>
        <w:tc>
          <w:tcPr>
            <w:tcW w:w="321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7_edei--CityAreaCode_c20260915__20"/>
      <w:bookmarkEnd w:id="12"/>
      <w:r>
        <w:rPr>
          <w:rFonts w:ascii="Times New Roman;Times;Serif" w:hAnsi="Times New Roman;Times;Serif"/>
          <w:b w:val="false"/>
          <w:i w:val="false"/>
          <w:caps w:val="false"/>
          <w:smallCaps w:val="false"/>
          <w:sz w:val="20"/>
          <w:u w:val="single"/>
        </w:rPr>
        <w:t>+508.</w:t>
      </w:r>
      <w:bookmarkStart w:id="13" w:name="xdx_90C_edei--LocalPhoneNumber_c20260915"/>
      <w:bookmarkEnd w:id="13"/>
      <w:r>
        <w:rPr>
          <w:rFonts w:ascii="Times New Roman;Times;Serif" w:hAnsi="Times New Roman;Times;Serif"/>
          <w:b w:val="false"/>
          <w:i w:val="false"/>
          <w:caps w:val="false"/>
          <w:smallCaps w:val="false"/>
          <w:sz w:val="20"/>
          <w:u w:val="single"/>
        </w:rPr>
        <w:t>251.1154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4" w:name="xdx_907_edei--EntityInformationFormerLeg"/>
      <w:bookmarkEnd w:id="14"/>
      <w:r>
        <w:rPr>
          <w:rFonts w:ascii="Times New Roman;Times;Serif" w:hAnsi="Times New Roman;Times;Serif"/>
          <w:b w:val="false"/>
          <w:i w:val="false"/>
          <w:caps w:val="false"/>
          <w:smallCaps w:val="false"/>
          <w:sz w:val="20"/>
        </w:rPr>
        <w:t>Not Applicable</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238"/>
        <w:gridCol w:w="60"/>
        <w:gridCol w:w="1352"/>
        <w:gridCol w:w="60"/>
        <w:gridCol w:w="3495"/>
      </w:tblGrid>
      <w:tr>
        <w:trPr/>
        <w:tc>
          <w:tcPr>
            <w:tcW w:w="5238" w:type="dxa"/>
            <w:tcBorders>
              <w:bottom w:val="single" w:sz="12" w:space="0" w:color="000000"/>
            </w:tcBorders>
            <w:vAlign w:val="center"/>
          </w:tcPr>
          <w:p>
            <w:pPr>
              <w:pStyle w:val="TableContents"/>
              <w:bidi w:val="0"/>
              <w:spacing w:before="0" w:after="283"/>
              <w:jc w:val="center"/>
              <w:rPr>
                <w:b/>
                <w:sz w:val="20"/>
              </w:rPr>
            </w:pPr>
            <w:r>
              <w:rPr>
                <w:b/>
                <w:sz w:val="20"/>
              </w:rPr>
              <w:t xml:space="preserve">Securities registered pursuant to Section 12(b) of the Exchange Act </w:t>
            </w:r>
          </w:p>
        </w:tc>
        <w:tc>
          <w:tcPr>
            <w:tcW w:w="60" w:type="dxa"/>
            <w:tcBorders/>
            <w:tcMar>
              <w:bottom w:w="0" w:type="dxa"/>
            </w:tcMar>
            <w:vAlign w:val="center"/>
          </w:tcPr>
          <w:p>
            <w:pPr>
              <w:pStyle w:val="TableContents"/>
              <w:bidi w:val="0"/>
              <w:spacing w:before="0" w:after="283"/>
              <w:jc w:val="center"/>
              <w:rPr/>
            </w:pPr>
            <w:r>
              <w:rPr/>
              <w:t> </w:t>
            </w:r>
          </w:p>
        </w:tc>
        <w:tc>
          <w:tcPr>
            <w:tcW w:w="1352" w:type="dxa"/>
            <w:tcBorders>
              <w:bottom w:val="single" w:sz="12"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49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each exchange on which registered </w:t>
            </w:r>
          </w:p>
        </w:tc>
      </w:tr>
      <w:tr>
        <w:trPr/>
        <w:tc>
          <w:tcPr>
            <w:tcW w:w="5238" w:type="dxa"/>
            <w:tcBorders/>
            <w:shd w:fill="CCEEFF" w:val="clear"/>
            <w:tcMar>
              <w:bottom w:w="0" w:type="dxa"/>
            </w:tcMar>
            <w:vAlign w:val="center"/>
          </w:tcPr>
          <w:p>
            <w:pPr>
              <w:pStyle w:val="TableContents"/>
              <w:bidi w:val="0"/>
              <w:spacing w:before="0" w:after="283"/>
              <w:jc w:val="center"/>
              <w:rPr>
                <w:sz w:val="20"/>
              </w:rPr>
            </w:pPr>
            <w:bookmarkStart w:id="15" w:name="xdx_90E_edei--Security12bTitle_c20260915"/>
            <w:bookmarkEnd w:id="15"/>
            <w:r>
              <w:rPr>
                <w:sz w:val="20"/>
              </w:rPr>
              <w:t xml:space="preserve">Ordinary Shares, no par value </w:t>
            </w:r>
          </w:p>
        </w:tc>
        <w:tc>
          <w:tcPr>
            <w:tcW w:w="60" w:type="dxa"/>
            <w:tcBorders/>
            <w:shd w:fill="CCEEFF" w:val="clear"/>
            <w:tcMar>
              <w:bottom w:w="0" w:type="dxa"/>
            </w:tcMar>
            <w:vAlign w:val="center"/>
          </w:tcPr>
          <w:p>
            <w:pPr>
              <w:pStyle w:val="TableContents"/>
              <w:bidi w:val="0"/>
              <w:spacing w:before="0" w:after="283"/>
              <w:jc w:val="both"/>
              <w:rPr/>
            </w:pPr>
            <w:r>
              <w:rPr/>
              <w:t> </w:t>
            </w:r>
          </w:p>
        </w:tc>
        <w:tc>
          <w:tcPr>
            <w:tcW w:w="1352" w:type="dxa"/>
            <w:tcBorders/>
            <w:shd w:fill="CCEEFF" w:val="clear"/>
            <w:tcMar>
              <w:bottom w:w="0" w:type="dxa"/>
            </w:tcMar>
            <w:vAlign w:val="center"/>
          </w:tcPr>
          <w:p>
            <w:pPr>
              <w:pStyle w:val="TableContents"/>
              <w:bidi w:val="0"/>
              <w:spacing w:before="0" w:after="283"/>
              <w:jc w:val="center"/>
              <w:rPr>
                <w:sz w:val="20"/>
              </w:rPr>
            </w:pPr>
            <w:bookmarkStart w:id="16" w:name="xdx_901_edei--TradingSymbol_c20260915__2"/>
            <w:bookmarkEnd w:id="16"/>
            <w:r>
              <w:rPr>
                <w:sz w:val="20"/>
              </w:rPr>
              <w:t>LFWD</w:t>
            </w:r>
          </w:p>
        </w:tc>
        <w:tc>
          <w:tcPr>
            <w:tcW w:w="60" w:type="dxa"/>
            <w:tcBorders/>
            <w:shd w:fill="CCEEFF" w:val="clear"/>
            <w:tcMar>
              <w:bottom w:w="0" w:type="dxa"/>
            </w:tcMar>
            <w:vAlign w:val="center"/>
          </w:tcPr>
          <w:p>
            <w:pPr>
              <w:pStyle w:val="TableContents"/>
              <w:bidi w:val="0"/>
              <w:spacing w:before="0" w:after="283"/>
              <w:jc w:val="both"/>
              <w:rPr/>
            </w:pPr>
            <w:r>
              <w:rPr/>
              <w:t> </w:t>
            </w:r>
          </w:p>
        </w:tc>
        <w:tc>
          <w:tcPr>
            <w:tcW w:w="3495" w:type="dxa"/>
            <w:tcBorders/>
            <w:shd w:fill="CCEEFF" w:val="clear"/>
            <w:tcMar>
              <w:bottom w:w="0" w:type="dxa"/>
            </w:tcMar>
            <w:vAlign w:val="center"/>
          </w:tcPr>
          <w:p>
            <w:pPr>
              <w:pStyle w:val="TableContents"/>
              <w:bidi w:val="0"/>
              <w:spacing w:before="0" w:after="283"/>
              <w:jc w:val="center"/>
              <w:rPr>
                <w:sz w:val="20"/>
              </w:rPr>
            </w:pPr>
            <w:bookmarkStart w:id="17" w:name="xdx_90E_edei--SecurityExchangeName_c2026"/>
            <w:bookmarkEnd w:id="17"/>
            <w:r>
              <w:rPr>
                <w:sz w:val="20"/>
              </w:rPr>
              <w:t>Nasdaq Capital Market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283"/>
        <w:jc w:val="left"/>
        <w:rPr/>
      </w:pPr>
      <w:r>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8" w:name="xdx_90F_edei--WrittenCommunications_c202"/>
            <w:bookmarkEnd w:id="18"/>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283"/>
        <w:jc w:val="left"/>
        <w:rPr/>
      </w:pPr>
      <w:r>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9" w:name="xdx_90D_edei--SolicitingMaterial_c202609"/>
            <w:bookmarkEnd w:id="19"/>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0" w:name="xdx_90D_edei--PreCommencementTenderOffer"/>
            <w:bookmarkEnd w:id="20"/>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1" w:name="xdx_90D_edei--PreCommencementIssuerTende"/>
            <w:bookmarkEnd w:id="21"/>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5.08 Shareholder Director 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“Board”) of Lifeward Ltd. (the “Company”) has set October 30, 2026 as the date for the Company’s 2026 Annual and Extraordinary General Meeting of Shareholders (the “Annual Meeting”). Because the Annual Meeting will be held more than 30 days from the anniversary date of the Company’s 2025 annual general meeting of shareholders, shareholders of the Company who wish to have a proposal considered for inclusion in the Company’s proxy materials for the Annual Meeting pursuant to Rule 14a-8 of the Securities Exchange Act of 1934, as amended, must ensure that such proposal is received by the Company’s Interim Chief Executive Officer at the Company’s office located at Lifeward Ltd., 3 Hatnufa Street, 6th Floor, Yokneam Ilit, Israel, on or before September 23, 2026, including any notice on Schedule 14N, which the Company has determined is a reasonable time before it expects to begin to print and send its proxy materials. All shareholder proposals and nominations must comply with the rules and regulations promulgated by the Securities and Exchange Commission, the Israel Companies Law 5759-1999, and the Company’s Articles of Association, as applicable.</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505" w:type="dxa"/>
        <w:jc w:val="left"/>
        <w:tblInd w:w="0" w:type="dxa"/>
        <w:tblLayout w:type="fixed"/>
        <w:tblCellMar>
          <w:top w:w="0" w:type="dxa"/>
          <w:left w:w="0" w:type="dxa"/>
          <w:bottom w:w="0" w:type="dxa"/>
          <w:right w:w="0" w:type="dxa"/>
        </w:tblCellMar>
      </w:tblPr>
      <w:tblGrid>
        <w:gridCol w:w="2630"/>
        <w:gridCol w:w="650"/>
        <w:gridCol w:w="2225"/>
      </w:tblGrid>
      <w:tr>
        <w:trPr/>
        <w:tc>
          <w:tcPr>
            <w:tcW w:w="2630"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b/>
              </w:rPr>
            </w:pPr>
            <w:r>
              <w:rPr>
                <w:b/>
              </w:rPr>
              <w:t>Lifeward Ltd.</w:t>
            </w:r>
          </w:p>
        </w:tc>
      </w:tr>
      <w:tr>
        <w:trPr/>
        <w:tc>
          <w:tcPr>
            <w:tcW w:w="2630" w:type="dxa"/>
            <w:tcBorders/>
            <w:vAlign w:val="center"/>
          </w:tcPr>
          <w:p>
            <w:pPr>
              <w:pStyle w:val="TableContents"/>
              <w:bidi w:val="0"/>
              <w:spacing w:before="0" w:after="283"/>
              <w:jc w:val="left"/>
              <w:rPr/>
            </w:pPr>
            <w:r>
              <w:rPr/>
              <w:t>Dated: September 15, 2026</w:t>
            </w:r>
          </w:p>
        </w:tc>
        <w:tc>
          <w:tcPr>
            <w:tcW w:w="650" w:type="dxa"/>
            <w:tcBorders/>
            <w:vAlign w:val="center"/>
          </w:tcPr>
          <w:p>
            <w:pPr>
              <w:pStyle w:val="TableContents"/>
              <w:bidi w:val="0"/>
              <w:spacing w:before="0" w:after="283"/>
              <w:jc w:val="left"/>
              <w:rPr/>
            </w:pPr>
            <w:r>
              <w:rPr/>
              <w:t>By:</w:t>
            </w:r>
          </w:p>
        </w:tc>
        <w:tc>
          <w:tcPr>
            <w:tcW w:w="2225" w:type="dxa"/>
            <w:tcBorders>
              <w:bottom w:val="single" w:sz="12" w:space="0" w:color="000000"/>
            </w:tcBorders>
            <w:tcMar>
              <w:bottom w:w="28" w:type="dxa"/>
            </w:tcMar>
            <w:vAlign w:val="center"/>
          </w:tcPr>
          <w:p>
            <w:pPr>
              <w:pStyle w:val="TableContents"/>
              <w:bidi w:val="0"/>
              <w:spacing w:before="0" w:after="283"/>
              <w:jc w:val="left"/>
              <w:rPr/>
            </w:pPr>
            <w:r>
              <w:rPr/>
              <w:t>/s/ Almog Adar</w:t>
            </w:r>
          </w:p>
        </w:tc>
      </w:tr>
      <w:tr>
        <w:trPr/>
        <w:tc>
          <w:tcPr>
            <w:tcW w:w="263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25" w:type="dxa"/>
            <w:tcBorders/>
            <w:vAlign w:val="center"/>
          </w:tcPr>
          <w:p>
            <w:pPr>
              <w:pStyle w:val="TableContents"/>
              <w:bidi w:val="0"/>
              <w:spacing w:before="0" w:after="283"/>
              <w:jc w:val="left"/>
              <w:rPr/>
            </w:pPr>
            <w:r>
              <w:rPr/>
              <w:t>Almog Adar</w:t>
            </w:r>
          </w:p>
        </w:tc>
      </w:tr>
      <w:tr>
        <w:trPr/>
        <w:tc>
          <w:tcPr>
            <w:tcW w:w="263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541</Words>
  <Characters>2972</Characters>
  <CharactersWithSpaces>3508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