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ind w:left="0" w:right="0" w:hanging="0"/>
        <w:jc w:val="left"/>
        <w:rPr>
          <w:bdr w:val="single" w:sz="24" w:space="1" w:color="000000"/>
        </w:rPr>
      </w:pPr>
      <w:bookmarkStart w:id="0" w:name="zk2636213.htm"/>
      <w:bookmarkStart w:id="1" w:name="kszk2636213"/>
      <w:bookmarkEnd w:id="0"/>
      <w:bookmarkEnd w:id="1"/>
      <w:r>
        <w:rPr>
          <w:bdr w:val="single" w:sz="24"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 xml:space="preserve">FORM </w:t>
      </w:r>
      <w:bookmarkStart w:id="2" w:name="xdx_902_edei--DocumentType_c20261004__20"/>
      <w:bookmarkEnd w:id="2"/>
      <w:r>
        <w:rPr>
          <w:rFonts w:ascii="Times New Roman;Times;Serif" w:hAnsi="Times New Roman;Times;Serif"/>
          <w:b/>
          <w:i w:val="false"/>
          <w:caps w:val="false"/>
          <w:smallCaps w:val="false"/>
          <w:sz w:val="28"/>
        </w:rPr>
        <w:t>8-K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Pursuant to Section 13 or 15(d) of the Securities Exchange Act of 1934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E_edei--DocumentPeriodEndDate_c202"/>
      <w:bookmarkEnd w:id="3"/>
      <w:r>
        <w:rPr>
          <w:rFonts w:ascii="Times New Roman;Times;Serif" w:hAnsi="Times New Roman;Times;Serif"/>
          <w:b w:val="false"/>
          <w:i w:val="false"/>
          <w:caps w:val="false"/>
          <w:smallCaps w:val="false"/>
          <w:sz w:val="20"/>
          <w:u w:val="single"/>
        </w:rPr>
        <w:t>October 4,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2"/>
        </w:rPr>
      </w:pPr>
      <w:bookmarkStart w:id="4" w:name="xdx_90E_edei--EntityRegistrantName_c2026"/>
      <w:bookmarkEnd w:id="4"/>
      <w:r>
        <w:rPr>
          <w:rFonts w:ascii="Times New Roman;Times;Serif" w:hAnsi="Times New Roman;Times;Serif"/>
          <w:b/>
          <w:i w:val="false"/>
          <w:caps w:val="false"/>
          <w:smallCaps w:val="false"/>
          <w:sz w:val="32"/>
        </w:rPr>
        <w:t>Lifeward Ltd.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5295" w:type="dxa"/>
        <w:jc w:val="left"/>
        <w:tblInd w:w="0" w:type="dxa"/>
        <w:tblLayout w:type="fixed"/>
        <w:tblCellMar>
          <w:top w:w="0" w:type="dxa"/>
          <w:left w:w="0" w:type="dxa"/>
          <w:bottom w:w="28" w:type="dxa"/>
          <w:right w:w="0" w:type="dxa"/>
        </w:tblCellMar>
      </w:tblPr>
      <w:tblGrid>
        <w:gridCol w:w="2495"/>
        <w:gridCol w:w="60"/>
        <w:gridCol w:w="1100"/>
        <w:gridCol w:w="60"/>
        <w:gridCol w:w="1580"/>
      </w:tblGrid>
      <w:tr>
        <w:trPr/>
        <w:tc>
          <w:tcPr>
            <w:tcW w:w="2495" w:type="dxa"/>
            <w:tcBorders>
              <w:bottom w:val="single" w:sz="12" w:space="0" w:color="000000"/>
            </w:tcBorders>
            <w:vAlign w:val="center"/>
          </w:tcPr>
          <w:p>
            <w:pPr>
              <w:pStyle w:val="TableContents"/>
              <w:bidi w:val="0"/>
              <w:spacing w:before="0" w:after="283"/>
              <w:jc w:val="center"/>
              <w:rPr>
                <w:sz w:val="20"/>
              </w:rPr>
            </w:pPr>
            <w:bookmarkStart w:id="5" w:name="xdx_90F_edei--EntityIncorporationStateCo"/>
            <w:bookmarkEnd w:id="5"/>
            <w:r>
              <w:rPr>
                <w:sz w:val="20"/>
              </w:rPr>
              <w:t>Israel</w:t>
            </w:r>
          </w:p>
        </w:tc>
        <w:tc>
          <w:tcPr>
            <w:tcW w:w="60" w:type="dxa"/>
            <w:tcBorders/>
            <w:tcMar>
              <w:bottom w:w="0" w:type="dxa"/>
            </w:tcMar>
            <w:vAlign w:val="center"/>
          </w:tcPr>
          <w:p>
            <w:pPr>
              <w:pStyle w:val="TableContents"/>
              <w:bidi w:val="0"/>
              <w:spacing w:before="0" w:after="283"/>
              <w:jc w:val="left"/>
              <w:rPr/>
            </w:pPr>
            <w:r>
              <w:rPr/>
              <w:t> </w:t>
            </w:r>
          </w:p>
        </w:tc>
        <w:tc>
          <w:tcPr>
            <w:tcW w:w="1100" w:type="dxa"/>
            <w:tcBorders>
              <w:bottom w:val="single" w:sz="12" w:space="0" w:color="000000"/>
            </w:tcBorders>
            <w:vAlign w:val="center"/>
          </w:tcPr>
          <w:p>
            <w:pPr>
              <w:pStyle w:val="TableContents"/>
              <w:bidi w:val="0"/>
              <w:spacing w:before="0" w:after="283"/>
              <w:jc w:val="center"/>
              <w:rPr>
                <w:sz w:val="20"/>
              </w:rPr>
            </w:pPr>
            <w:bookmarkStart w:id="6" w:name="xdx_905_edei--EntityFileNumber_c20261004"/>
            <w:bookmarkEnd w:id="6"/>
            <w:r>
              <w:rPr>
                <w:sz w:val="20"/>
              </w:rPr>
              <w:t>001-36612</w:t>
            </w:r>
          </w:p>
        </w:tc>
        <w:tc>
          <w:tcPr>
            <w:tcW w:w="60" w:type="dxa"/>
            <w:tcBorders/>
            <w:tcMar>
              <w:bottom w:w="0" w:type="dxa"/>
            </w:tcMar>
            <w:vAlign w:val="center"/>
          </w:tcPr>
          <w:p>
            <w:pPr>
              <w:pStyle w:val="TableContents"/>
              <w:bidi w:val="0"/>
              <w:spacing w:before="0" w:after="283"/>
              <w:jc w:val="left"/>
              <w:rPr/>
            </w:pPr>
            <w:r>
              <w:rPr/>
              <w:t> </w:t>
            </w:r>
          </w:p>
        </w:tc>
        <w:tc>
          <w:tcPr>
            <w:tcW w:w="1580" w:type="dxa"/>
            <w:tcBorders>
              <w:bottom w:val="single" w:sz="12" w:space="0" w:color="000000"/>
            </w:tcBorders>
            <w:vAlign w:val="center"/>
          </w:tcPr>
          <w:p>
            <w:pPr>
              <w:pStyle w:val="TableContents"/>
              <w:bidi w:val="0"/>
              <w:spacing w:before="0" w:after="283"/>
              <w:jc w:val="center"/>
              <w:rPr>
                <w:sz w:val="20"/>
              </w:rPr>
            </w:pPr>
            <w:bookmarkStart w:id="7" w:name="xdx_905_edei--EntityTaxIdentificationNum"/>
            <w:bookmarkEnd w:id="7"/>
            <w:r>
              <w:rPr>
                <w:sz w:val="20"/>
              </w:rPr>
              <w:t>Not applicable</w:t>
            </w:r>
          </w:p>
        </w:tc>
      </w:tr>
      <w:tr>
        <w:trPr/>
        <w:tc>
          <w:tcPr>
            <w:tcW w:w="2495" w:type="dxa"/>
            <w:tcBorders/>
            <w:tcMar>
              <w:bottom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or other jurisdiction of</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incorporation or organization)</w:t>
            </w:r>
          </w:p>
        </w:tc>
        <w:tc>
          <w:tcPr>
            <w:tcW w:w="60" w:type="dxa"/>
            <w:tcBorders/>
            <w:tcMar>
              <w:bottom w:w="0" w:type="dxa"/>
            </w:tcMar>
            <w:vAlign w:val="center"/>
          </w:tcPr>
          <w:p>
            <w:pPr>
              <w:pStyle w:val="TableContents"/>
              <w:bidi w:val="0"/>
              <w:spacing w:before="0" w:after="283"/>
              <w:jc w:val="left"/>
              <w:rPr/>
            </w:pPr>
            <w:r>
              <w:rPr/>
              <w:t> </w:t>
            </w:r>
          </w:p>
        </w:tc>
        <w:tc>
          <w:tcPr>
            <w:tcW w:w="1100" w:type="dxa"/>
            <w:tcBorders/>
            <w:tcMar>
              <w:bottom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 Number)</w:t>
            </w:r>
          </w:p>
        </w:tc>
        <w:tc>
          <w:tcPr>
            <w:tcW w:w="60" w:type="dxa"/>
            <w:tcBorders/>
            <w:tcMar>
              <w:bottom w:w="0" w:type="dxa"/>
            </w:tcMar>
            <w:vAlign w:val="center"/>
          </w:tcPr>
          <w:p>
            <w:pPr>
              <w:pStyle w:val="TableContents"/>
              <w:bidi w:val="0"/>
              <w:spacing w:before="0" w:after="283"/>
              <w:jc w:val="left"/>
              <w:rPr/>
            </w:pPr>
            <w:r>
              <w:rPr/>
              <w:t> </w:t>
            </w:r>
          </w:p>
        </w:tc>
        <w:tc>
          <w:tcPr>
            <w:tcW w:w="1580" w:type="dxa"/>
            <w:tcBorders/>
            <w:tcMar>
              <w:bottom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 Employer</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Identification No.) </w:t>
            </w:r>
          </w:p>
        </w:tc>
      </w:tr>
    </w:tbl>
    <w:p>
      <w:pPr>
        <w:pStyle w:val="TextBody"/>
        <w:bidi w:val="0"/>
        <w:spacing w:before="0" w:after="283"/>
        <w:jc w:val="left"/>
        <w:rPr/>
      </w:pPr>
      <w:r>
        <w:rPr/>
        <w:t> </w:t>
      </w:r>
    </w:p>
    <w:tbl>
      <w:tblPr>
        <w:tblW w:w="4195" w:type="dxa"/>
        <w:jc w:val="left"/>
        <w:tblInd w:w="0" w:type="dxa"/>
        <w:tblLayout w:type="fixed"/>
        <w:tblCellMar>
          <w:top w:w="0" w:type="dxa"/>
          <w:left w:w="0" w:type="dxa"/>
          <w:bottom w:w="28" w:type="dxa"/>
          <w:right w:w="0" w:type="dxa"/>
        </w:tblCellMar>
      </w:tblPr>
      <w:tblGrid>
        <w:gridCol w:w="3215"/>
        <w:gridCol w:w="60"/>
        <w:gridCol w:w="920"/>
      </w:tblGrid>
      <w:tr>
        <w:trPr/>
        <w:tc>
          <w:tcPr>
            <w:tcW w:w="3215" w:type="dxa"/>
            <w:tcBorders>
              <w:bottom w:val="single" w:sz="12" w:space="0" w:color="000000"/>
            </w:tcBorders>
            <w:vAlign w:val="center"/>
          </w:tcPr>
          <w:p>
            <w:pPr>
              <w:pStyle w:val="TableContents"/>
              <w:bidi w:val="0"/>
              <w:spacing w:before="0" w:after="283"/>
              <w:jc w:val="center"/>
              <w:rPr>
                <w:sz w:val="20"/>
              </w:rPr>
            </w:pPr>
            <w:bookmarkStart w:id="8" w:name="xdx_903_edei--EntityAddressAddressLine1_"/>
            <w:bookmarkEnd w:id="8"/>
            <w:r>
              <w:rPr>
                <w:sz w:val="20"/>
              </w:rPr>
              <w:t xml:space="preserve">2 Cabot Rd., </w:t>
            </w:r>
            <w:bookmarkStart w:id="9" w:name="xdx_908_edei--EntityAddressCityOrTown_c2"/>
            <w:bookmarkEnd w:id="9"/>
            <w:r>
              <w:rPr>
                <w:sz w:val="20"/>
              </w:rPr>
              <w:t xml:space="preserve">Hudson, </w:t>
            </w:r>
            <w:bookmarkStart w:id="10" w:name="xdx_900_edei--EntityAddressStateOrProvin"/>
            <w:bookmarkEnd w:id="10"/>
            <w:r>
              <w:rPr>
                <w:sz w:val="20"/>
              </w:rPr>
              <w:t>MA</w:t>
            </w:r>
          </w:p>
        </w:tc>
        <w:tc>
          <w:tcPr>
            <w:tcW w:w="60" w:type="dxa"/>
            <w:tcBorders/>
            <w:tcMar>
              <w:bottom w:w="0" w:type="dxa"/>
            </w:tcMar>
            <w:vAlign w:val="center"/>
          </w:tcPr>
          <w:p>
            <w:pPr>
              <w:pStyle w:val="TableContents"/>
              <w:bidi w:val="0"/>
              <w:spacing w:before="0" w:after="283"/>
              <w:jc w:val="center"/>
              <w:rPr/>
            </w:pPr>
            <w:r>
              <w:rPr/>
              <w:t> </w:t>
            </w:r>
          </w:p>
        </w:tc>
        <w:tc>
          <w:tcPr>
            <w:tcW w:w="920" w:type="dxa"/>
            <w:tcBorders>
              <w:bottom w:val="single" w:sz="12" w:space="0" w:color="000000"/>
            </w:tcBorders>
            <w:vAlign w:val="center"/>
          </w:tcPr>
          <w:p>
            <w:pPr>
              <w:pStyle w:val="TableContents"/>
              <w:bidi w:val="0"/>
              <w:spacing w:before="0" w:after="283"/>
              <w:jc w:val="center"/>
              <w:rPr>
                <w:sz w:val="20"/>
              </w:rPr>
            </w:pPr>
            <w:bookmarkStart w:id="11" w:name="xdx_904_edei--EntityAddressPostalZipCode"/>
            <w:bookmarkEnd w:id="11"/>
            <w:r>
              <w:rPr>
                <w:sz w:val="20"/>
              </w:rPr>
              <w:t>01749</w:t>
            </w:r>
          </w:p>
        </w:tc>
      </w:tr>
      <w:tr>
        <w:trPr/>
        <w:tc>
          <w:tcPr>
            <w:tcW w:w="3215" w:type="dxa"/>
            <w:tcBorders/>
            <w:tcMar>
              <w:bottom w:w="0" w:type="dxa"/>
            </w:tcMar>
            <w:vAlign w:val="center"/>
          </w:tcPr>
          <w:p>
            <w:pPr>
              <w:pStyle w:val="TableContents"/>
              <w:bidi w:val="0"/>
              <w:spacing w:before="0" w:after="283"/>
              <w:jc w:val="center"/>
              <w:rPr>
                <w:sz w:val="20"/>
              </w:rPr>
            </w:pPr>
            <w:r>
              <w:rPr>
                <w:sz w:val="20"/>
              </w:rPr>
              <w:t>(Address of principal executive offices)</w:t>
            </w:r>
          </w:p>
        </w:tc>
        <w:tc>
          <w:tcPr>
            <w:tcW w:w="60" w:type="dxa"/>
            <w:tcBorders/>
            <w:tcMar>
              <w:bottom w:w="0" w:type="dxa"/>
            </w:tcMar>
            <w:vAlign w:val="center"/>
          </w:tcPr>
          <w:p>
            <w:pPr>
              <w:pStyle w:val="TableContents"/>
              <w:bidi w:val="0"/>
              <w:spacing w:before="0" w:after="283"/>
              <w:jc w:val="center"/>
              <w:rPr/>
            </w:pPr>
            <w:r>
              <w:rPr/>
              <w:t> </w:t>
            </w:r>
          </w:p>
        </w:tc>
        <w:tc>
          <w:tcPr>
            <w:tcW w:w="920" w:type="dxa"/>
            <w:tcBorders/>
            <w:tcMar>
              <w:bottom w:w="0" w:type="dxa"/>
            </w:tcMar>
            <w:vAlign w:val="center"/>
          </w:tcPr>
          <w:p>
            <w:pPr>
              <w:pStyle w:val="TableContents"/>
              <w:bidi w:val="0"/>
              <w:spacing w:before="0" w:after="283"/>
              <w:jc w:val="center"/>
              <w:rPr>
                <w:sz w:val="20"/>
              </w:rPr>
            </w:pPr>
            <w:r>
              <w:rPr>
                <w:sz w:val="20"/>
              </w:rPr>
              <w:t>(Zip Code)</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Registrant’s telephone number, including area code: </w:t>
      </w:r>
      <w:bookmarkStart w:id="12" w:name="xdx_905_edei--CityAreaCode_c20261004__20"/>
      <w:bookmarkEnd w:id="12"/>
      <w:r>
        <w:rPr>
          <w:rFonts w:ascii="Times New Roman;Times;Serif" w:hAnsi="Times New Roman;Times;Serif"/>
          <w:b w:val="false"/>
          <w:i w:val="false"/>
          <w:caps w:val="false"/>
          <w:smallCaps w:val="false"/>
          <w:sz w:val="20"/>
          <w:u w:val="single"/>
        </w:rPr>
        <w:t>+508.</w:t>
      </w:r>
      <w:bookmarkStart w:id="13" w:name="xdx_907_edei--LocalPhoneNumber_c20261004"/>
      <w:bookmarkEnd w:id="13"/>
      <w:r>
        <w:rPr>
          <w:rFonts w:ascii="Times New Roman;Times;Serif" w:hAnsi="Times New Roman;Times;Serif"/>
          <w:b w:val="false"/>
          <w:i w:val="false"/>
          <w:caps w:val="false"/>
          <w:smallCaps w:val="false"/>
          <w:sz w:val="20"/>
          <w:u w:val="single"/>
        </w:rPr>
        <w:t>251.1154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bookmarkStart w:id="14" w:name="xdx_902_edei--EntityInformationFormerLeg"/>
      <w:bookmarkEnd w:id="14"/>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bidi w:val="0"/>
        <w:spacing w:before="0" w:after="0"/>
        <w:ind w:left="0" w:right="0" w:hanging="0"/>
        <w:jc w:val="center"/>
        <w:rPr>
          <w:caps w:val="false"/>
          <w:smallCaps w:val="false"/>
        </w:rPr>
      </w:pPr>
      <w:r>
        <w:rPr>
          <w:caps w:val="false"/>
          <w:smallCaps w:val="false"/>
        </w:rPr>
        <w:t> </w:t>
      </w:r>
    </w:p>
    <w:tbl>
      <w:tblPr>
        <w:tblW w:w="6405" w:type="dxa"/>
        <w:jc w:val="left"/>
        <w:tblInd w:w="0" w:type="dxa"/>
        <w:tblLayout w:type="fixed"/>
        <w:tblCellMar>
          <w:top w:w="0" w:type="dxa"/>
          <w:left w:w="0" w:type="dxa"/>
          <w:bottom w:w="28" w:type="dxa"/>
          <w:right w:w="0" w:type="dxa"/>
        </w:tblCellMar>
      </w:tblPr>
      <w:tblGrid>
        <w:gridCol w:w="2855"/>
        <w:gridCol w:w="60"/>
        <w:gridCol w:w="1415"/>
        <w:gridCol w:w="60"/>
        <w:gridCol w:w="2015"/>
      </w:tblGrid>
      <w:tr>
        <w:trPr/>
        <w:tc>
          <w:tcPr>
            <w:tcW w:w="2855" w:type="dxa"/>
            <w:tcBorders>
              <w:bottom w:val="single" w:sz="12" w:space="0" w:color="000000"/>
            </w:tcBorders>
            <w:vAlign w:val="center"/>
          </w:tcPr>
          <w:p>
            <w:pPr>
              <w:pStyle w:val="TableContents"/>
              <w:bidi w:val="0"/>
              <w:jc w:val="center"/>
              <w:rPr>
                <w:b/>
                <w:sz w:val="20"/>
              </w:rPr>
            </w:pPr>
            <w:r>
              <w:rPr>
                <w:b/>
                <w:sz w:val="20"/>
              </w:rPr>
              <w:t>Securities registered pursuant to</w:t>
            </w:r>
          </w:p>
          <w:p>
            <w:pPr>
              <w:pStyle w:val="TableContents"/>
              <w:bidi w:val="0"/>
              <w:spacing w:before="0" w:after="283"/>
              <w:jc w:val="center"/>
              <w:rPr>
                <w:b/>
                <w:sz w:val="20"/>
              </w:rPr>
            </w:pPr>
            <w:r>
              <w:rPr>
                <w:b/>
                <w:sz w:val="20"/>
              </w:rPr>
              <w:t>Section 12(b) of the Exchange Act</w:t>
            </w:r>
          </w:p>
        </w:tc>
        <w:tc>
          <w:tcPr>
            <w:tcW w:w="60" w:type="dxa"/>
            <w:tcBorders/>
            <w:tcMar>
              <w:bottom w:w="0" w:type="dxa"/>
            </w:tcMar>
            <w:vAlign w:val="center"/>
          </w:tcPr>
          <w:p>
            <w:pPr>
              <w:pStyle w:val="TableContents"/>
              <w:bidi w:val="0"/>
              <w:spacing w:before="0" w:after="283"/>
              <w:jc w:val="center"/>
              <w:rPr/>
            </w:pPr>
            <w:r>
              <w:rPr/>
              <w:t> </w:t>
            </w:r>
          </w:p>
        </w:tc>
        <w:tc>
          <w:tcPr>
            <w:tcW w:w="1415" w:type="dxa"/>
            <w:tcBorders>
              <w:bottom w:val="single" w:sz="12" w:space="0" w:color="000000"/>
            </w:tcBorders>
            <w:vAlign w:val="center"/>
          </w:tcPr>
          <w:p>
            <w:pPr>
              <w:pStyle w:val="TableContents"/>
              <w:bidi w:val="0"/>
              <w:spacing w:before="0" w:after="283"/>
              <w:jc w:val="center"/>
              <w:rPr>
                <w:b/>
                <w:sz w:val="20"/>
              </w:rPr>
            </w:pPr>
            <w:r>
              <w:rPr>
                <w:b/>
                <w:sz w:val="20"/>
              </w:rPr>
              <w:t>Trading Symbol</w:t>
            </w:r>
          </w:p>
        </w:tc>
        <w:tc>
          <w:tcPr>
            <w:tcW w:w="60" w:type="dxa"/>
            <w:tcBorders/>
            <w:tcMar>
              <w:bottom w:w="0" w:type="dxa"/>
            </w:tcMar>
            <w:vAlign w:val="center"/>
          </w:tcPr>
          <w:p>
            <w:pPr>
              <w:pStyle w:val="TableContents"/>
              <w:bidi w:val="0"/>
              <w:spacing w:before="0" w:after="283"/>
              <w:jc w:val="center"/>
              <w:rPr/>
            </w:pPr>
            <w:r>
              <w:rPr/>
              <w:t> </w:t>
            </w:r>
          </w:p>
        </w:tc>
        <w:tc>
          <w:tcPr>
            <w:tcW w:w="2015" w:type="dxa"/>
            <w:tcBorders>
              <w:bottom w:val="single" w:sz="12"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each exchange</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on which registered </w:t>
            </w:r>
          </w:p>
        </w:tc>
      </w:tr>
      <w:tr>
        <w:trPr/>
        <w:tc>
          <w:tcPr>
            <w:tcW w:w="2855" w:type="dxa"/>
            <w:tcBorders/>
            <w:shd w:fill="CCEEFF" w:val="clear"/>
            <w:tcMar>
              <w:bottom w:w="0" w:type="dxa"/>
            </w:tcMar>
            <w:vAlign w:val="center"/>
          </w:tcPr>
          <w:p>
            <w:pPr>
              <w:pStyle w:val="TableContents"/>
              <w:bidi w:val="0"/>
              <w:spacing w:before="0" w:after="283"/>
              <w:jc w:val="center"/>
              <w:rPr>
                <w:sz w:val="20"/>
              </w:rPr>
            </w:pPr>
            <w:bookmarkStart w:id="15" w:name="xdx_90C_edei--Security12bTitle_c20261004"/>
            <w:bookmarkEnd w:id="15"/>
            <w:r>
              <w:rPr>
                <w:sz w:val="20"/>
              </w:rPr>
              <w:t xml:space="preserve">Ordinary Shares, no par value </w:t>
            </w:r>
          </w:p>
        </w:tc>
        <w:tc>
          <w:tcPr>
            <w:tcW w:w="60" w:type="dxa"/>
            <w:tcBorders/>
            <w:shd w:fill="CCEEFF" w:val="clear"/>
            <w:tcMar>
              <w:bottom w:w="0" w:type="dxa"/>
            </w:tcMar>
            <w:vAlign w:val="center"/>
          </w:tcPr>
          <w:p>
            <w:pPr>
              <w:pStyle w:val="TableContents"/>
              <w:bidi w:val="0"/>
              <w:spacing w:before="0" w:after="283"/>
              <w:jc w:val="both"/>
              <w:rPr/>
            </w:pPr>
            <w:r>
              <w:rPr/>
              <w:t> </w:t>
            </w:r>
          </w:p>
        </w:tc>
        <w:tc>
          <w:tcPr>
            <w:tcW w:w="1415" w:type="dxa"/>
            <w:tcBorders/>
            <w:shd w:fill="CCEEFF" w:val="clear"/>
            <w:tcMar>
              <w:bottom w:w="0" w:type="dxa"/>
            </w:tcMar>
            <w:vAlign w:val="center"/>
          </w:tcPr>
          <w:p>
            <w:pPr>
              <w:pStyle w:val="TableContents"/>
              <w:bidi w:val="0"/>
              <w:spacing w:before="0" w:after="283"/>
              <w:jc w:val="center"/>
              <w:rPr>
                <w:sz w:val="20"/>
              </w:rPr>
            </w:pPr>
            <w:bookmarkStart w:id="16" w:name="xdx_90C_edei--TradingSymbol_c20261004__2"/>
            <w:bookmarkEnd w:id="16"/>
            <w:r>
              <w:rPr>
                <w:sz w:val="20"/>
              </w:rPr>
              <w:t>LFWD</w:t>
            </w:r>
          </w:p>
        </w:tc>
        <w:tc>
          <w:tcPr>
            <w:tcW w:w="60" w:type="dxa"/>
            <w:tcBorders/>
            <w:shd w:fill="CCEEFF" w:val="clear"/>
            <w:tcMar>
              <w:bottom w:w="0" w:type="dxa"/>
            </w:tcMar>
            <w:vAlign w:val="center"/>
          </w:tcPr>
          <w:p>
            <w:pPr>
              <w:pStyle w:val="TableContents"/>
              <w:bidi w:val="0"/>
              <w:spacing w:before="0" w:after="283"/>
              <w:jc w:val="both"/>
              <w:rPr/>
            </w:pPr>
            <w:r>
              <w:rPr/>
              <w:t> </w:t>
            </w:r>
          </w:p>
        </w:tc>
        <w:tc>
          <w:tcPr>
            <w:tcW w:w="2015" w:type="dxa"/>
            <w:tcBorders/>
            <w:shd w:fill="CCEEFF" w:val="clear"/>
            <w:tcMar>
              <w:bottom w:w="0" w:type="dxa"/>
            </w:tcMar>
            <w:vAlign w:val="center"/>
          </w:tcPr>
          <w:p>
            <w:pPr>
              <w:pStyle w:val="TableContents"/>
              <w:bidi w:val="0"/>
              <w:spacing w:before="0" w:after="283"/>
              <w:jc w:val="center"/>
              <w:rPr>
                <w:sz w:val="20"/>
              </w:rPr>
            </w:pPr>
            <w:bookmarkStart w:id="17" w:name="xdx_907_edei--SecurityExchangeName_c2026"/>
            <w:bookmarkEnd w:id="17"/>
            <w:r>
              <w:rPr>
                <w:sz w:val="20"/>
              </w:rPr>
              <w:t>Nasdaq Capital Market</w:t>
            </w:r>
          </w:p>
        </w:tc>
      </w:tr>
    </w:tbl>
    <w:p>
      <w:pPr>
        <w:pStyle w:val="TextBody"/>
        <w:bidi w:val="0"/>
        <w:spacing w:before="0" w:after="283"/>
        <w:jc w:val="left"/>
        <w:rPr/>
      </w:pPr>
      <w:r>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 (</w:t>
      </w:r>
      <w:r>
        <w:rPr>
          <w:rFonts w:ascii="Times New Roman;Times;Serif" w:hAnsi="Times New Roman;Times;Serif"/>
          <w:b w:val="false"/>
          <w:i/>
          <w:caps w:val="false"/>
          <w:smallCaps w:val="false"/>
          <w:sz w:val="20"/>
        </w:rPr>
        <w:t xml:space="preserve">see </w:t>
      </w:r>
      <w:r>
        <w:rPr>
          <w:rFonts w:ascii="Times New Roman;Times;Serif" w:hAnsi="Times New Roman;Times;Serif"/>
          <w:b w:val="false"/>
          <w:i w:val="false"/>
          <w:caps w:val="false"/>
          <w:smallCaps w:val="false"/>
          <w:sz w:val="20"/>
        </w:rPr>
        <w:t>General Instruction A.2. below):</w:t>
      </w:r>
    </w:p>
    <w:p>
      <w:pPr>
        <w:pStyle w:val="TextBody"/>
        <w:bidi w:val="0"/>
        <w:spacing w:before="0" w:after="283"/>
        <w:jc w:val="left"/>
        <w:rPr/>
      </w:pPr>
      <w:r>
        <w:rPr/>
        <w:t> </w:t>
      </w:r>
    </w:p>
    <w:tbl>
      <w:tblPr>
        <w:tblW w:w="8770" w:type="dxa"/>
        <w:jc w:val="left"/>
        <w:tblInd w:w="0" w:type="dxa"/>
        <w:tblLayout w:type="fixed"/>
        <w:tblCellMar>
          <w:top w:w="0" w:type="dxa"/>
          <w:left w:w="0" w:type="dxa"/>
          <w:bottom w:w="0" w:type="dxa"/>
          <w:right w:w="0" w:type="dxa"/>
        </w:tblCellMar>
      </w:tblPr>
      <w:tblGrid>
        <w:gridCol w:w="245"/>
        <w:gridCol w:w="8525"/>
      </w:tblGrid>
      <w:tr>
        <w:trPr/>
        <w:tc>
          <w:tcPr>
            <w:tcW w:w="245" w:type="dxa"/>
            <w:tcBorders/>
            <w:vAlign w:val="center"/>
          </w:tcPr>
          <w:p>
            <w:pPr>
              <w:pStyle w:val="TableContents"/>
              <w:bidi w:val="0"/>
              <w:spacing w:before="0" w:after="283"/>
              <w:jc w:val="left"/>
              <w:rPr/>
            </w:pPr>
            <w:bookmarkStart w:id="18" w:name="xdx_906_edei--WrittenCommunications_c202"/>
            <w:bookmarkEnd w:id="18"/>
            <w:r>
              <w:rPr/>
              <w:t>☐</w:t>
            </w:r>
          </w:p>
        </w:tc>
        <w:tc>
          <w:tcPr>
            <w:tcW w:w="8525" w:type="dxa"/>
            <w:tcBorders/>
            <w:vAlign w:val="center"/>
          </w:tcPr>
          <w:p>
            <w:pPr>
              <w:pStyle w:val="TableContents"/>
              <w:bidi w:val="0"/>
              <w:spacing w:before="0" w:after="283"/>
              <w:jc w:val="left"/>
              <w:rPr/>
            </w:pPr>
            <w:r>
              <w:rPr/>
              <w:t>Written communications pursuant to Rule 425 under the Securities Act (17 CFR 230.425)</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tbl>
      <w:tblPr>
        <w:tblW w:w="8800" w:type="dxa"/>
        <w:jc w:val="left"/>
        <w:tblInd w:w="0" w:type="dxa"/>
        <w:tblLayout w:type="fixed"/>
        <w:tblCellMar>
          <w:top w:w="0" w:type="dxa"/>
          <w:left w:w="0" w:type="dxa"/>
          <w:bottom w:w="0" w:type="dxa"/>
          <w:right w:w="0" w:type="dxa"/>
        </w:tblCellMar>
      </w:tblPr>
      <w:tblGrid>
        <w:gridCol w:w="245"/>
        <w:gridCol w:w="8555"/>
      </w:tblGrid>
      <w:tr>
        <w:trPr/>
        <w:tc>
          <w:tcPr>
            <w:tcW w:w="245" w:type="dxa"/>
            <w:tcBorders/>
            <w:vAlign w:val="center"/>
          </w:tcPr>
          <w:p>
            <w:pPr>
              <w:pStyle w:val="TableContents"/>
              <w:bidi w:val="0"/>
              <w:spacing w:before="0" w:after="283"/>
              <w:jc w:val="left"/>
              <w:rPr/>
            </w:pPr>
            <w:bookmarkStart w:id="19" w:name="xdx_905_edei--SolicitingMaterial_c202610"/>
            <w:bookmarkEnd w:id="19"/>
            <w:r>
              <w:rPr/>
              <w:t>☐</w:t>
            </w:r>
          </w:p>
        </w:tc>
        <w:tc>
          <w:tcPr>
            <w:tcW w:w="8555" w:type="dxa"/>
            <w:tcBorders/>
            <w:vAlign w:val="center"/>
          </w:tcPr>
          <w:p>
            <w:pPr>
              <w:pStyle w:val="TableContents"/>
              <w:bidi w:val="0"/>
              <w:spacing w:before="0" w:after="283"/>
              <w:jc w:val="left"/>
              <w:rPr/>
            </w:pPr>
            <w:r>
              <w:rPr/>
              <w:t>Soliciting material pursuant to Rule 14a-12 under the Exchange Act (17 CFR 240.14a-12)</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pPr>
            <w:bookmarkStart w:id="20" w:name="xdx_90A_edei--PreCommencementTenderOffer"/>
            <w:bookmarkEnd w:id="20"/>
            <w:r>
              <w:rPr/>
              <w:t>☐</w:t>
            </w:r>
          </w:p>
        </w:tc>
        <w:tc>
          <w:tcPr>
            <w:tcW w:w="9960" w:type="dxa"/>
            <w:tcBorders/>
            <w:vAlign w:val="center"/>
          </w:tcPr>
          <w:p>
            <w:pPr>
              <w:pStyle w:val="TableContents"/>
              <w:bidi w:val="0"/>
              <w:spacing w:before="0" w:after="283"/>
              <w:jc w:val="left"/>
              <w:rPr/>
            </w:pPr>
            <w:r>
              <w:rPr/>
              <w:t>Pre-commencement communications pursuant to Rule 14d-2(b) under the Exchange Act (17 CFR 240.14d-2(b))</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pPr>
            <w:bookmarkStart w:id="21" w:name="xdx_903_edei--PreCommencementIssuerTende"/>
            <w:bookmarkEnd w:id="21"/>
            <w:r>
              <w:rPr/>
              <w:t>☐</w:t>
            </w:r>
          </w:p>
        </w:tc>
        <w:tc>
          <w:tcPr>
            <w:tcW w:w="9960" w:type="dxa"/>
            <w:tcBorders/>
            <w:vAlign w:val="center"/>
          </w:tcPr>
          <w:p>
            <w:pPr>
              <w:pStyle w:val="TableContents"/>
              <w:bidi w:val="0"/>
              <w:spacing w:before="0" w:after="283"/>
              <w:jc w:val="left"/>
              <w:rPr/>
            </w:pPr>
            <w:r>
              <w:rPr/>
              <w:t>Pre-commencement communications pursuant to Rule 13e-4(c) under the Exchange Act (17 CFR 240.13e-4(c))</w:t>
            </w:r>
          </w:p>
        </w:tc>
      </w:tr>
    </w:tbl>
    <w:p>
      <w:pPr>
        <w:pStyle w:val="TextBody"/>
        <w:bidi w:val="0"/>
        <w:spacing w:before="0" w:after="283"/>
        <w:jc w:val="left"/>
        <w:rPr/>
      </w:pPr>
      <w:r>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2" w:name="xdx_90C_edei--EntityEmergingGrowthCompan"/>
      <w:bookmarkEnd w:id="22"/>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719"/>
        <w:gridCol w:w="9486"/>
      </w:tblGrid>
      <w:tr>
        <w:trPr/>
        <w:tc>
          <w:tcPr>
            <w:tcW w:w="719"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5.02</w:t>
            </w:r>
          </w:p>
        </w:tc>
        <w:tc>
          <w:tcPr>
            <w:tcW w:w="9486"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Departure of Directors or Certain Officers; Election of Directors; Appointment of Certain Officers; Compensatory Arrangements of Certain Officers.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previously reported in Current Reports on Form 8-K filed with the Securities and Exchange Commission on August 31, 2026 and October 1, 2026, Lifeward Ltd. (the “Company”) appointed Rami Aviram as its Chief Financial Officer, principal financial officer and principal accounting officer, effective November 1, 2026. On October 4, 2026, Mr. Aviram informed the Company that he has decided not to join the Company and, accordingly, will not assume the role of Chief Financial Officer.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disclosed in the October 1, 2026 Form 8-K, Josh Hexter currently serves as the Company’s interim principal financial officer and principal accounting officer. Mr. Hexter will continue to serve in these capacities until a successor is appointed. Mr. Hexter will not receive any additional compensation in connection with his continued service in these capacities.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conducting a search to identify a permanent successor for the Chief Financial Officer position and will announce a successor at the conclusion of the ongoing search process.</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both"/>
        <w:rPr>
          <w:caps w:val="false"/>
          <w:smallCaps w:val="false"/>
        </w:rPr>
      </w:pPr>
      <w:r>
        <w:rPr>
          <w:caps w:val="false"/>
          <w:smallCaps w:val="false"/>
        </w:rPr>
        <w:t> </w:t>
      </w:r>
    </w:p>
    <w:tbl>
      <w:tblPr>
        <w:tblW w:w="5955" w:type="dxa"/>
        <w:jc w:val="left"/>
        <w:tblInd w:w="0" w:type="dxa"/>
        <w:tblLayout w:type="fixed"/>
        <w:tblCellMar>
          <w:top w:w="0" w:type="dxa"/>
          <w:left w:w="0" w:type="dxa"/>
          <w:bottom w:w="0" w:type="dxa"/>
          <w:right w:w="0" w:type="dxa"/>
        </w:tblCellMar>
      </w:tblPr>
      <w:tblGrid>
        <w:gridCol w:w="2270"/>
        <w:gridCol w:w="650"/>
        <w:gridCol w:w="3035"/>
      </w:tblGrid>
      <w:tr>
        <w:trPr/>
        <w:tc>
          <w:tcPr>
            <w:tcW w:w="2270" w:type="dxa"/>
            <w:tcBorders/>
            <w:vAlign w:val="center"/>
          </w:tcPr>
          <w:p>
            <w:pPr>
              <w:pStyle w:val="TableContents"/>
              <w:bidi w:val="0"/>
              <w:spacing w:before="0" w:after="283"/>
              <w:jc w:val="left"/>
              <w:rPr/>
            </w:pPr>
            <w:r>
              <w:rPr/>
              <w:t> </w:t>
            </w:r>
          </w:p>
        </w:tc>
        <w:tc>
          <w:tcPr>
            <w:tcW w:w="3685" w:type="dxa"/>
            <w:gridSpan w:val="2"/>
            <w:tcBorders/>
            <w:vAlign w:val="center"/>
          </w:tcPr>
          <w:p>
            <w:pPr>
              <w:pStyle w:val="TableContents"/>
              <w:bidi w:val="0"/>
              <w:spacing w:before="0" w:after="283"/>
              <w:jc w:val="left"/>
              <w:rPr>
                <w:b/>
              </w:rPr>
            </w:pPr>
            <w:r>
              <w:rPr>
                <w:b/>
              </w:rPr>
              <w:t>Lifeward Ltd.</w:t>
            </w:r>
          </w:p>
        </w:tc>
      </w:tr>
      <w:tr>
        <w:trPr/>
        <w:tc>
          <w:tcPr>
            <w:tcW w:w="227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3035" w:type="dxa"/>
            <w:tcBorders/>
            <w:vAlign w:val="center"/>
          </w:tcPr>
          <w:p>
            <w:pPr>
              <w:pStyle w:val="TableContents"/>
              <w:bidi w:val="0"/>
              <w:spacing w:before="0" w:after="283"/>
              <w:jc w:val="left"/>
              <w:rPr/>
            </w:pPr>
            <w:r>
              <w:rPr/>
              <w:t> </w:t>
            </w:r>
          </w:p>
        </w:tc>
      </w:tr>
      <w:tr>
        <w:trPr/>
        <w:tc>
          <w:tcPr>
            <w:tcW w:w="2270" w:type="dxa"/>
            <w:tcBorders/>
            <w:vAlign w:val="center"/>
          </w:tcPr>
          <w:p>
            <w:pPr>
              <w:pStyle w:val="TableContents"/>
              <w:bidi w:val="0"/>
              <w:spacing w:before="0" w:after="283"/>
              <w:jc w:val="left"/>
              <w:rPr/>
            </w:pPr>
            <w:r>
              <w:rPr/>
              <w:t>Dated: October 8, 2026</w:t>
            </w:r>
          </w:p>
        </w:tc>
        <w:tc>
          <w:tcPr>
            <w:tcW w:w="650" w:type="dxa"/>
            <w:tcBorders/>
            <w:vAlign w:val="center"/>
          </w:tcPr>
          <w:p>
            <w:pPr>
              <w:pStyle w:val="TableContents"/>
              <w:bidi w:val="0"/>
              <w:spacing w:before="0" w:after="283"/>
              <w:jc w:val="left"/>
              <w:rPr/>
            </w:pPr>
            <w:r>
              <w:rPr/>
              <w:t>By:</w:t>
            </w:r>
          </w:p>
        </w:tc>
        <w:tc>
          <w:tcPr>
            <w:tcW w:w="3035" w:type="dxa"/>
            <w:tcBorders>
              <w:bottom w:val="single" w:sz="12" w:space="0" w:color="000000"/>
            </w:tcBorders>
            <w:tcMar>
              <w:bottom w:w="28" w:type="dxa"/>
            </w:tcMar>
            <w:vAlign w:val="center"/>
          </w:tcPr>
          <w:p>
            <w:pPr>
              <w:pStyle w:val="TableContents"/>
              <w:bidi w:val="0"/>
              <w:spacing w:before="0" w:after="283"/>
              <w:jc w:val="left"/>
              <w:rPr/>
            </w:pPr>
            <w:r>
              <w:rPr/>
              <w:t>/s/ Josh Hexter</w:t>
            </w:r>
          </w:p>
        </w:tc>
      </w:tr>
      <w:tr>
        <w:trPr/>
        <w:tc>
          <w:tcPr>
            <w:tcW w:w="227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Name:</w:t>
            </w:r>
          </w:p>
        </w:tc>
        <w:tc>
          <w:tcPr>
            <w:tcW w:w="3035" w:type="dxa"/>
            <w:tcBorders/>
            <w:vAlign w:val="center"/>
          </w:tcPr>
          <w:p>
            <w:pPr>
              <w:pStyle w:val="TableContents"/>
              <w:bidi w:val="0"/>
              <w:spacing w:before="0" w:after="283"/>
              <w:jc w:val="left"/>
              <w:rPr/>
            </w:pPr>
            <w:r>
              <w:rPr/>
              <w:t>Josh Hexter</w:t>
            </w:r>
          </w:p>
        </w:tc>
      </w:tr>
      <w:tr>
        <w:trPr/>
        <w:tc>
          <w:tcPr>
            <w:tcW w:w="227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Title:</w:t>
            </w:r>
          </w:p>
        </w:tc>
        <w:tc>
          <w:tcPr>
            <w:tcW w:w="3035" w:type="dxa"/>
            <w:tcBorders/>
            <w:vAlign w:val="center"/>
          </w:tcPr>
          <w:p>
            <w:pPr>
              <w:pStyle w:val="TableContents"/>
              <w:bidi w:val="0"/>
              <w:spacing w:before="0" w:after="283"/>
              <w:jc w:val="left"/>
              <w:rPr/>
            </w:pPr>
            <w:r>
              <w:rPr/>
              <w:t>Interim Chief Executive Officer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both"/>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531</Words>
  <Characters>2952</Characters>
  <CharactersWithSpaces>3478</CharactersWithSpaces>
  <Paragraphs>109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